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BD" w:rsidRPr="00EC10A1" w:rsidRDefault="004875BD" w:rsidP="004875BD">
      <w:pPr>
        <w:spacing w:line="460" w:lineRule="exact"/>
        <w:rPr>
          <w:rFonts w:ascii="宋体" w:hAnsi="宋体"/>
          <w:b/>
          <w:sz w:val="32"/>
          <w:szCs w:val="32"/>
        </w:rPr>
      </w:pPr>
      <w:r w:rsidRPr="00EC10A1">
        <w:rPr>
          <w:rFonts w:ascii="宋体" w:hAnsi="宋体" w:hint="eastAsia"/>
          <w:b/>
          <w:sz w:val="32"/>
          <w:szCs w:val="32"/>
        </w:rPr>
        <w:t>附件2</w:t>
      </w:r>
    </w:p>
    <w:p w:rsidR="004875BD" w:rsidRPr="00EC10A1" w:rsidRDefault="004875BD" w:rsidP="004875BD">
      <w:pPr>
        <w:spacing w:line="460" w:lineRule="exact"/>
        <w:ind w:leftChars="700" w:left="1471" w:hanging="1"/>
        <w:rPr>
          <w:rFonts w:ascii="宋体" w:hAnsi="宋体"/>
          <w:sz w:val="32"/>
          <w:szCs w:val="32"/>
        </w:rPr>
      </w:pPr>
      <w:r>
        <w:rPr>
          <w:rFonts w:ascii="宋体" w:hAnsi="宋体" w:hint="eastAsia"/>
          <w:sz w:val="32"/>
          <w:szCs w:val="32"/>
        </w:rPr>
        <w:t>2021-2022</w:t>
      </w:r>
      <w:r w:rsidRPr="00EC10A1">
        <w:rPr>
          <w:rFonts w:ascii="宋体" w:hAnsi="宋体" w:hint="eastAsia"/>
          <w:sz w:val="32"/>
          <w:szCs w:val="32"/>
        </w:rPr>
        <w:t xml:space="preserve">年度内蒙古体育职业学院 </w:t>
      </w:r>
    </w:p>
    <w:p w:rsidR="004875BD" w:rsidRPr="00EC10A1" w:rsidRDefault="004875BD" w:rsidP="004875BD">
      <w:pPr>
        <w:spacing w:line="460" w:lineRule="exact"/>
        <w:ind w:leftChars="300" w:left="1910" w:hangingChars="400" w:hanging="1280"/>
        <w:rPr>
          <w:rFonts w:ascii="宋体" w:hAnsi="宋体"/>
          <w:sz w:val="32"/>
          <w:szCs w:val="32"/>
        </w:rPr>
      </w:pPr>
      <w:r w:rsidRPr="00EC10A1">
        <w:rPr>
          <w:rFonts w:ascii="宋体" w:hAnsi="宋体" w:hint="eastAsia"/>
          <w:sz w:val="32"/>
          <w:szCs w:val="32"/>
        </w:rPr>
        <w:t>“思政课程、课程思政、训练思政”专题科研指南</w:t>
      </w:r>
    </w:p>
    <w:p w:rsidR="004875BD" w:rsidRPr="00EC10A1" w:rsidRDefault="004875BD" w:rsidP="004875BD">
      <w:pPr>
        <w:tabs>
          <w:tab w:val="left" w:pos="1950"/>
        </w:tabs>
        <w:spacing w:line="500" w:lineRule="exact"/>
        <w:rPr>
          <w:rFonts w:ascii="仿宋_GB2312" w:eastAsia="仿宋_GB2312"/>
          <w:sz w:val="32"/>
          <w:szCs w:val="32"/>
        </w:rPr>
      </w:pPr>
      <w:r w:rsidRPr="00EC10A1">
        <w:rPr>
          <w:rFonts w:ascii="仿宋_GB2312" w:eastAsia="仿宋_GB2312" w:hint="eastAsia"/>
          <w:sz w:val="32"/>
          <w:szCs w:val="32"/>
        </w:rPr>
        <w:tab/>
      </w:r>
    </w:p>
    <w:p w:rsidR="004875BD" w:rsidRDefault="004875BD" w:rsidP="004875BD">
      <w:pPr>
        <w:spacing w:line="500" w:lineRule="exact"/>
        <w:rPr>
          <w:rFonts w:ascii="仿宋_GB2312" w:eastAsia="仿宋_GB2312"/>
          <w:sz w:val="32"/>
          <w:szCs w:val="32"/>
        </w:rPr>
      </w:pPr>
      <w:r>
        <w:rPr>
          <w:rFonts w:ascii="仿宋_GB2312" w:eastAsia="仿宋_GB2312" w:hint="eastAsia"/>
          <w:sz w:val="32"/>
          <w:szCs w:val="32"/>
        </w:rPr>
        <w:t>课题指南：</w:t>
      </w:r>
    </w:p>
    <w:p w:rsidR="004875BD" w:rsidRDefault="004875BD" w:rsidP="004875BD">
      <w:pPr>
        <w:spacing w:line="500" w:lineRule="exact"/>
        <w:ind w:left="320" w:hangingChars="100" w:hanging="320"/>
        <w:rPr>
          <w:rFonts w:ascii="仿宋_GB2312" w:eastAsia="仿宋_GB2312"/>
          <w:sz w:val="32"/>
          <w:szCs w:val="32"/>
        </w:rPr>
      </w:pPr>
      <w:r>
        <w:rPr>
          <w:rFonts w:ascii="仿宋_GB2312" w:eastAsia="仿宋_GB2312" w:hint="eastAsia"/>
          <w:sz w:val="32"/>
          <w:szCs w:val="32"/>
        </w:rPr>
        <w:t>1习近平新时代中国特色社会主义思想融入高校思想政治教育研究</w:t>
      </w:r>
    </w:p>
    <w:p w:rsidR="004875BD" w:rsidRDefault="004875BD" w:rsidP="004875BD">
      <w:pPr>
        <w:spacing w:line="500" w:lineRule="exact"/>
        <w:rPr>
          <w:rFonts w:ascii="仿宋_GB2312" w:eastAsia="仿宋_GB2312"/>
          <w:sz w:val="32"/>
          <w:szCs w:val="32"/>
        </w:rPr>
      </w:pPr>
      <w:r>
        <w:rPr>
          <w:rFonts w:ascii="仿宋_GB2312" w:eastAsia="仿宋_GB2312" w:hint="eastAsia"/>
          <w:sz w:val="32"/>
          <w:szCs w:val="32"/>
        </w:rPr>
        <w:t>2 新形势下高校思想价值引领贯穿教育教学各个环节研究</w:t>
      </w:r>
    </w:p>
    <w:p w:rsidR="004875BD" w:rsidRDefault="004875BD" w:rsidP="004875BD">
      <w:pPr>
        <w:spacing w:line="500" w:lineRule="exact"/>
        <w:rPr>
          <w:rFonts w:ascii="仿宋_GB2312" w:eastAsia="仿宋_GB2312"/>
          <w:sz w:val="32"/>
          <w:szCs w:val="32"/>
        </w:rPr>
      </w:pPr>
      <w:r>
        <w:rPr>
          <w:rFonts w:ascii="仿宋_GB2312" w:eastAsia="仿宋_GB2312" w:hint="eastAsia"/>
          <w:sz w:val="32"/>
          <w:szCs w:val="32"/>
        </w:rPr>
        <w:t>3把握新时代高校思想政治工作发展特点和存在的问题研究</w:t>
      </w:r>
    </w:p>
    <w:p w:rsidR="004875BD" w:rsidRDefault="004875BD" w:rsidP="004875BD">
      <w:pPr>
        <w:spacing w:line="500" w:lineRule="exact"/>
        <w:ind w:left="320" w:hangingChars="100" w:hanging="320"/>
        <w:rPr>
          <w:rFonts w:ascii="仿宋_GB2312" w:eastAsia="仿宋_GB2312"/>
          <w:sz w:val="32"/>
          <w:szCs w:val="32"/>
        </w:rPr>
      </w:pPr>
      <w:r>
        <w:rPr>
          <w:rFonts w:ascii="仿宋_GB2312" w:eastAsia="仿宋_GB2312" w:hint="eastAsia"/>
          <w:sz w:val="32"/>
          <w:szCs w:val="32"/>
        </w:rPr>
        <w:t>4社会主义核心价值观的相关元素融入“思政课程、课程思政、训练思政”教学中研究</w:t>
      </w:r>
    </w:p>
    <w:p w:rsidR="004875BD" w:rsidRDefault="004875BD" w:rsidP="004875BD">
      <w:pPr>
        <w:spacing w:line="500" w:lineRule="exact"/>
        <w:ind w:left="320" w:hangingChars="100" w:hanging="320"/>
        <w:rPr>
          <w:rFonts w:ascii="仿宋_GB2312" w:eastAsia="仿宋_GB2312"/>
          <w:sz w:val="32"/>
          <w:szCs w:val="32"/>
        </w:rPr>
      </w:pPr>
      <w:r>
        <w:rPr>
          <w:rFonts w:ascii="仿宋_GB2312" w:eastAsia="仿宋_GB2312" w:hint="eastAsia"/>
          <w:sz w:val="32"/>
          <w:szCs w:val="32"/>
        </w:rPr>
        <w:t>5社会主义核心价值观的相关元素融入到学生职业生涯和心理健康教育的培育研究</w:t>
      </w:r>
    </w:p>
    <w:p w:rsidR="004875BD" w:rsidRDefault="004875BD" w:rsidP="004875BD">
      <w:pPr>
        <w:spacing w:line="500" w:lineRule="exact"/>
        <w:rPr>
          <w:rFonts w:ascii="仿宋_GB2312" w:eastAsia="仿宋_GB2312"/>
          <w:sz w:val="32"/>
          <w:szCs w:val="32"/>
        </w:rPr>
      </w:pPr>
      <w:r>
        <w:rPr>
          <w:rFonts w:ascii="仿宋_GB2312" w:eastAsia="仿宋_GB2312" w:hint="eastAsia"/>
          <w:sz w:val="32"/>
          <w:szCs w:val="32"/>
        </w:rPr>
        <w:t>6 社会主义核心价值观引领校园文化建设和培育研究</w:t>
      </w:r>
    </w:p>
    <w:p w:rsidR="004875BD" w:rsidRDefault="004875BD" w:rsidP="004875BD">
      <w:pPr>
        <w:spacing w:line="500" w:lineRule="exact"/>
        <w:rPr>
          <w:rFonts w:ascii="仿宋_GB2312" w:eastAsia="仿宋_GB2312"/>
          <w:sz w:val="32"/>
          <w:szCs w:val="32"/>
        </w:rPr>
      </w:pPr>
      <w:r>
        <w:rPr>
          <w:rFonts w:ascii="仿宋_GB2312" w:eastAsia="仿宋_GB2312" w:hint="eastAsia"/>
          <w:sz w:val="32"/>
          <w:szCs w:val="32"/>
        </w:rPr>
        <w:t>7 从思政课程到课程思政构建高校全院育人体系研究</w:t>
      </w:r>
    </w:p>
    <w:p w:rsidR="004875BD" w:rsidRDefault="004875BD" w:rsidP="004875BD">
      <w:pPr>
        <w:spacing w:line="500" w:lineRule="exact"/>
        <w:rPr>
          <w:rFonts w:ascii="仿宋_GB2312" w:eastAsia="仿宋_GB2312"/>
          <w:sz w:val="32"/>
          <w:szCs w:val="32"/>
        </w:rPr>
      </w:pPr>
      <w:r>
        <w:rPr>
          <w:rFonts w:ascii="仿宋_GB2312" w:eastAsia="仿宋_GB2312" w:hint="eastAsia"/>
          <w:sz w:val="32"/>
          <w:szCs w:val="32"/>
        </w:rPr>
        <w:t>8 大学生思想状况与行为特点研究</w:t>
      </w:r>
    </w:p>
    <w:p w:rsidR="004875BD" w:rsidRDefault="004875BD" w:rsidP="004875BD">
      <w:pPr>
        <w:spacing w:line="500" w:lineRule="exact"/>
        <w:rPr>
          <w:rFonts w:ascii="仿宋_GB2312" w:eastAsia="仿宋_GB2312"/>
          <w:sz w:val="32"/>
          <w:szCs w:val="32"/>
        </w:rPr>
      </w:pPr>
      <w:r>
        <w:rPr>
          <w:rFonts w:ascii="仿宋_GB2312" w:eastAsia="仿宋_GB2312" w:hint="eastAsia"/>
          <w:sz w:val="32"/>
          <w:szCs w:val="32"/>
        </w:rPr>
        <w:t>9 提升思政课教学实效性研究</w:t>
      </w:r>
    </w:p>
    <w:p w:rsidR="004875BD" w:rsidRDefault="004875BD" w:rsidP="004875BD">
      <w:pPr>
        <w:spacing w:line="500" w:lineRule="exact"/>
        <w:rPr>
          <w:rFonts w:ascii="仿宋_GB2312" w:eastAsia="仿宋_GB2312"/>
          <w:sz w:val="32"/>
          <w:szCs w:val="32"/>
        </w:rPr>
      </w:pPr>
      <w:r>
        <w:rPr>
          <w:rFonts w:ascii="仿宋_GB2312" w:eastAsia="仿宋_GB2312" w:hint="eastAsia"/>
          <w:sz w:val="32"/>
          <w:szCs w:val="32"/>
        </w:rPr>
        <w:t>10思政课程与优秀传统文化有机融合的教学实践研究</w:t>
      </w:r>
    </w:p>
    <w:p w:rsidR="004875BD" w:rsidRPr="00EC10A1" w:rsidRDefault="004875BD" w:rsidP="004875BD">
      <w:pPr>
        <w:spacing w:line="360" w:lineRule="auto"/>
        <w:rPr>
          <w:rFonts w:ascii="仿宋_GB2312" w:eastAsia="仿宋_GB2312" w:hAnsi="仿宋_GB2312" w:hint="eastAsia"/>
          <w:spacing w:val="-6"/>
          <w:sz w:val="32"/>
          <w:szCs w:val="32"/>
        </w:rPr>
      </w:pPr>
    </w:p>
    <w:p w:rsidR="004875BD" w:rsidRDefault="004875BD" w:rsidP="004875BD">
      <w:pPr>
        <w:spacing w:line="460" w:lineRule="exact"/>
        <w:jc w:val="left"/>
        <w:rPr>
          <w:rFonts w:ascii="仿宋_GB2312" w:eastAsia="仿宋_GB2312" w:hAnsi="宋体" w:hint="eastAsia"/>
          <w:b/>
          <w:sz w:val="32"/>
          <w:szCs w:val="32"/>
        </w:rPr>
      </w:pPr>
    </w:p>
    <w:p w:rsidR="004875BD" w:rsidRPr="006E6F33" w:rsidRDefault="004875BD" w:rsidP="004875BD">
      <w:pPr>
        <w:spacing w:line="460" w:lineRule="exact"/>
        <w:jc w:val="left"/>
        <w:rPr>
          <w:rFonts w:ascii="仿宋_GB2312" w:eastAsia="仿宋_GB2312" w:hAnsi="宋体" w:hint="eastAsia"/>
          <w:b/>
          <w:sz w:val="32"/>
          <w:szCs w:val="32"/>
        </w:rPr>
      </w:pPr>
      <w:r w:rsidRPr="006E6F33">
        <w:rPr>
          <w:rFonts w:ascii="仿宋_GB2312" w:eastAsia="仿宋_GB2312" w:hAnsi="宋体" w:hint="eastAsia"/>
          <w:b/>
          <w:sz w:val="32"/>
          <w:szCs w:val="32"/>
        </w:rPr>
        <w:t>备注：</w:t>
      </w:r>
    </w:p>
    <w:p w:rsidR="004875BD" w:rsidRDefault="004875BD" w:rsidP="004875BD">
      <w:pPr>
        <w:spacing w:line="460" w:lineRule="exact"/>
        <w:ind w:leftChars="387" w:left="2055" w:hangingChars="388" w:hanging="1242"/>
        <w:rPr>
          <w:rFonts w:ascii="仿宋_GB2312" w:eastAsia="仿宋_GB2312" w:hAnsi="宋体" w:hint="eastAsia"/>
          <w:sz w:val="32"/>
          <w:szCs w:val="32"/>
        </w:rPr>
      </w:pPr>
      <w:r w:rsidRPr="006E6F33">
        <w:rPr>
          <w:rFonts w:ascii="仿宋_GB2312" w:eastAsia="仿宋_GB2312" w:hAnsi="宋体" w:hint="eastAsia"/>
          <w:sz w:val="32"/>
          <w:szCs w:val="32"/>
        </w:rPr>
        <w:t>1、上述课题题目为拟定题目，主要以提供科研方向为</w:t>
      </w:r>
    </w:p>
    <w:p w:rsidR="004875BD" w:rsidRPr="006E6F33" w:rsidRDefault="004875BD" w:rsidP="004875BD">
      <w:pPr>
        <w:spacing w:line="460" w:lineRule="exact"/>
        <w:rPr>
          <w:rFonts w:ascii="仿宋_GB2312" w:eastAsia="仿宋_GB2312" w:hAnsi="宋体" w:hint="eastAsia"/>
          <w:sz w:val="32"/>
          <w:szCs w:val="32"/>
        </w:rPr>
      </w:pPr>
      <w:r w:rsidRPr="006E6F33">
        <w:rPr>
          <w:rFonts w:ascii="仿宋_GB2312" w:eastAsia="仿宋_GB2312" w:hAnsi="宋体" w:hint="eastAsia"/>
          <w:sz w:val="32"/>
          <w:szCs w:val="32"/>
        </w:rPr>
        <w:t>目的。因此各部门及选题人员可根据自身情况调整和细化科研题目。</w:t>
      </w:r>
    </w:p>
    <w:p w:rsidR="004875BD" w:rsidRDefault="004875BD" w:rsidP="004875BD">
      <w:pPr>
        <w:tabs>
          <w:tab w:val="left" w:pos="1366"/>
        </w:tabs>
        <w:spacing w:line="460" w:lineRule="exact"/>
        <w:ind w:leftChars="374" w:left="1255" w:hangingChars="147" w:hanging="470"/>
        <w:rPr>
          <w:rFonts w:ascii="仿宋_GB2312" w:eastAsia="仿宋_GB2312" w:hAnsi="宋体" w:hint="eastAsia"/>
          <w:spacing w:val="-6"/>
          <w:sz w:val="32"/>
          <w:szCs w:val="32"/>
        </w:rPr>
      </w:pPr>
      <w:r w:rsidRPr="006E6F33">
        <w:rPr>
          <w:rFonts w:ascii="仿宋_GB2312" w:eastAsia="仿宋_GB2312" w:hAnsi="宋体" w:hint="eastAsia"/>
          <w:sz w:val="32"/>
          <w:szCs w:val="32"/>
        </w:rPr>
        <w:t>2、学院各部门有申报的请查询学院网站,</w:t>
      </w:r>
      <w:r w:rsidRPr="006E6F33">
        <w:rPr>
          <w:rFonts w:ascii="仿宋_GB2312" w:eastAsia="仿宋_GB2312" w:hAnsi="宋体" w:hint="eastAsia"/>
          <w:spacing w:val="-6"/>
          <w:sz w:val="32"/>
          <w:szCs w:val="32"/>
        </w:rPr>
        <w:t>申报所需申请</w:t>
      </w:r>
    </w:p>
    <w:p w:rsidR="004875BD" w:rsidRPr="006E6F33" w:rsidRDefault="004875BD" w:rsidP="004875BD">
      <w:pPr>
        <w:tabs>
          <w:tab w:val="left" w:pos="1366"/>
        </w:tabs>
        <w:spacing w:line="460" w:lineRule="exact"/>
        <w:rPr>
          <w:rFonts w:ascii="仿宋_GB2312" w:eastAsia="仿宋_GB2312" w:hAnsi="宋体" w:hint="eastAsia"/>
          <w:spacing w:val="-6"/>
          <w:sz w:val="32"/>
          <w:szCs w:val="32"/>
        </w:rPr>
      </w:pPr>
      <w:r w:rsidRPr="006E6F33">
        <w:rPr>
          <w:rFonts w:ascii="仿宋_GB2312" w:eastAsia="仿宋_GB2312" w:hAnsi="宋体" w:hint="eastAsia"/>
          <w:spacing w:val="-6"/>
          <w:sz w:val="32"/>
          <w:szCs w:val="32"/>
        </w:rPr>
        <w:t>书等格式，在学院网站下载，项目申请人应如实填写申请材料。</w:t>
      </w:r>
    </w:p>
    <w:p w:rsidR="005D5185" w:rsidRDefault="005D5185">
      <w:bookmarkStart w:id="0" w:name="_GoBack"/>
      <w:bookmarkEnd w:id="0"/>
    </w:p>
    <w:sectPr w:rsidR="005D5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BD"/>
    <w:rsid w:val="004875BD"/>
    <w:rsid w:val="005D5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2021-03-31T09:29:00Z</dcterms:created>
  <dcterms:modified xsi:type="dcterms:W3CDTF">2021-03-31T09:29:00Z</dcterms:modified>
</cp:coreProperties>
</file>